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71" w:rsidRDefault="005B5D71" w:rsidP="005B5D71">
      <w:pPr>
        <w:pStyle w:val="a3"/>
        <w:spacing w:after="0"/>
        <w:ind w:left="0" w:firstLine="567"/>
        <w:jc w:val="center"/>
      </w:pPr>
      <w:r>
        <w:t>2015-2016 учебный год</w:t>
      </w:r>
    </w:p>
    <w:p w:rsidR="005B5D71" w:rsidRDefault="005B5D71" w:rsidP="005B5D71">
      <w:pPr>
        <w:pStyle w:val="a3"/>
        <w:spacing w:after="0"/>
        <w:ind w:left="0" w:firstLine="567"/>
        <w:jc w:val="both"/>
      </w:pPr>
    </w:p>
    <w:p w:rsidR="005B5D71" w:rsidRPr="00F20470" w:rsidRDefault="005B5D71" w:rsidP="005B5D71">
      <w:pPr>
        <w:pStyle w:val="a3"/>
        <w:spacing w:after="0"/>
        <w:ind w:left="0" w:firstLine="567"/>
        <w:jc w:val="both"/>
      </w:pPr>
      <w:r w:rsidRPr="00F20470">
        <w:t>В образовательных организациях района работают 598 чел., из них 290 педагогических работника: в том числе учителей — 200. Произошло снижение числа педагогических работников по   образовательным учреждениям  на  13 чел.  в сравнении с предыдущим учебным годом.</w:t>
      </w:r>
    </w:p>
    <w:p w:rsidR="005B5D71" w:rsidRPr="00F20470" w:rsidRDefault="005B5D71" w:rsidP="005B5D71">
      <w:pPr>
        <w:ind w:firstLine="567"/>
        <w:jc w:val="both"/>
      </w:pPr>
      <w:r w:rsidRPr="00F20470">
        <w:t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</w:t>
      </w:r>
    </w:p>
    <w:p w:rsidR="005B5D71" w:rsidRPr="00F20470" w:rsidRDefault="005B5D71" w:rsidP="005B5D71">
      <w:pPr>
        <w:ind w:firstLine="567"/>
        <w:jc w:val="both"/>
      </w:pPr>
      <w:r w:rsidRPr="00F20470">
        <w:t>По учреждениям образования имеют высшее профессиональное образование 48,3%.</w:t>
      </w:r>
    </w:p>
    <w:p w:rsidR="005B5D71" w:rsidRPr="00F20470" w:rsidRDefault="005B5D71" w:rsidP="005B5D71">
      <w:pPr>
        <w:ind w:firstLine="567"/>
        <w:jc w:val="both"/>
      </w:pPr>
    </w:p>
    <w:tbl>
      <w:tblPr>
        <w:tblW w:w="0" w:type="auto"/>
        <w:tblInd w:w="-35" w:type="dxa"/>
        <w:tblLayout w:type="fixed"/>
        <w:tblLook w:val="0000"/>
      </w:tblPr>
      <w:tblGrid>
        <w:gridCol w:w="4396"/>
        <w:gridCol w:w="5103"/>
      </w:tblGrid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Высшее профессиональное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48,3%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 xml:space="preserve">                      в т.ч. педагогическое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43,1%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Среднее профессиональное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24,82%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 xml:space="preserve">                      в т.ч. педагогическое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22,06%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Среднее (полное) общее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2,06%:</w:t>
            </w:r>
          </w:p>
        </w:tc>
      </w:tr>
    </w:tbl>
    <w:p w:rsidR="005B5D71" w:rsidRPr="00F20470" w:rsidRDefault="005B5D71" w:rsidP="005B5D71">
      <w:pPr>
        <w:ind w:firstLine="567"/>
        <w:jc w:val="both"/>
      </w:pPr>
    </w:p>
    <w:p w:rsidR="005B5D71" w:rsidRPr="00F20470" w:rsidRDefault="005B5D71" w:rsidP="005B5D71">
      <w:pPr>
        <w:ind w:firstLine="567"/>
        <w:jc w:val="both"/>
      </w:pPr>
      <w:r w:rsidRPr="00F20470">
        <w:t>Имеют квалификационные категории 52%.</w:t>
      </w:r>
    </w:p>
    <w:p w:rsidR="005B5D71" w:rsidRPr="00F20470" w:rsidRDefault="005B5D71" w:rsidP="005B5D71">
      <w:pPr>
        <w:ind w:firstLine="567"/>
        <w:jc w:val="both"/>
      </w:pPr>
    </w:p>
    <w:tbl>
      <w:tblPr>
        <w:tblW w:w="0" w:type="auto"/>
        <w:tblInd w:w="-35" w:type="dxa"/>
        <w:tblLayout w:type="fixed"/>
        <w:tblLook w:val="0000"/>
      </w:tblPr>
      <w:tblGrid>
        <w:gridCol w:w="4396"/>
        <w:gridCol w:w="5103"/>
      </w:tblGrid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Высшая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5,51%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Первая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26,2%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Вторая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20,3%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Без категории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37,5%</w:t>
            </w:r>
          </w:p>
        </w:tc>
      </w:tr>
    </w:tbl>
    <w:p w:rsidR="005B5D71" w:rsidRPr="00F20470" w:rsidRDefault="005B5D71" w:rsidP="005B5D71">
      <w:pPr>
        <w:ind w:firstLine="567"/>
        <w:jc w:val="both"/>
      </w:pPr>
    </w:p>
    <w:p w:rsidR="005B5D71" w:rsidRPr="00F20470" w:rsidRDefault="005B5D71" w:rsidP="005B5D71">
      <w:pPr>
        <w:ind w:firstLine="567"/>
        <w:jc w:val="both"/>
      </w:pPr>
      <w:r w:rsidRPr="00F20470">
        <w:t>Имеют неполную нагрузку 31 педагогический работник, что составляет  10,6%.</w:t>
      </w:r>
    </w:p>
    <w:p w:rsidR="005B5D71" w:rsidRPr="00F20470" w:rsidRDefault="005B5D71" w:rsidP="005B5D71">
      <w:pPr>
        <w:ind w:firstLine="567"/>
        <w:jc w:val="both"/>
      </w:pPr>
      <w:r w:rsidRPr="00F20470">
        <w:t xml:space="preserve">Имеют внутреннее совместительство 135 человек, что составляет 46,5%; </w:t>
      </w:r>
    </w:p>
    <w:p w:rsidR="005B5D71" w:rsidRPr="00F20470" w:rsidRDefault="005B5D71" w:rsidP="005B5D71">
      <w:pPr>
        <w:ind w:firstLine="567"/>
        <w:jc w:val="both"/>
      </w:pPr>
      <w:r w:rsidRPr="00F20470">
        <w:t xml:space="preserve">Анализ статистических данных и мониторинговых исследований по стажу и возрасту педагогических работников показывает, что в муниципальной системе образования наблюдается тенденция старения  кадров: средний возраст педагогов  составляет 42 г. </w:t>
      </w:r>
    </w:p>
    <w:p w:rsidR="005B5D71" w:rsidRPr="00F20470" w:rsidRDefault="005B5D71" w:rsidP="005B5D71">
      <w:pPr>
        <w:ind w:firstLine="567"/>
        <w:jc w:val="both"/>
      </w:pPr>
      <w:r w:rsidRPr="00F20470">
        <w:t>Стаж</w:t>
      </w:r>
    </w:p>
    <w:tbl>
      <w:tblPr>
        <w:tblW w:w="0" w:type="auto"/>
        <w:tblInd w:w="-35" w:type="dxa"/>
        <w:tblLayout w:type="fixed"/>
        <w:tblLook w:val="0000"/>
      </w:tblPr>
      <w:tblGrid>
        <w:gridCol w:w="4396"/>
        <w:gridCol w:w="5103"/>
      </w:tblGrid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jc w:val="both"/>
            </w:pPr>
            <w:r w:rsidRPr="00F20470">
              <w:t>- менее 2-х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 xml:space="preserve">5,51% 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jc w:val="both"/>
            </w:pPr>
            <w:r w:rsidRPr="00F20470">
              <w:t>- от 2 до 5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7,6%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jc w:val="both"/>
            </w:pPr>
            <w:r w:rsidRPr="00F20470">
              <w:t>- от 5 до 10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7,24%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jc w:val="both"/>
            </w:pPr>
            <w:r w:rsidRPr="00F20470">
              <w:t>- от 10 до 20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15,86%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jc w:val="both"/>
            </w:pPr>
            <w:r w:rsidRPr="00F20470">
              <w:t>- более 20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45,5%</w:t>
            </w:r>
          </w:p>
        </w:tc>
      </w:tr>
    </w:tbl>
    <w:p w:rsidR="005B5D71" w:rsidRPr="00F20470" w:rsidRDefault="005B5D71" w:rsidP="005B5D71">
      <w:pPr>
        <w:ind w:firstLine="567"/>
        <w:jc w:val="both"/>
      </w:pPr>
    </w:p>
    <w:p w:rsidR="005B5D71" w:rsidRPr="00F20470" w:rsidRDefault="005B5D71" w:rsidP="005B5D71">
      <w:pPr>
        <w:ind w:firstLine="567"/>
        <w:jc w:val="both"/>
      </w:pPr>
      <w:r w:rsidRPr="00F20470">
        <w:t>Возраст</w:t>
      </w:r>
    </w:p>
    <w:tbl>
      <w:tblPr>
        <w:tblW w:w="0" w:type="auto"/>
        <w:tblInd w:w="-35" w:type="dxa"/>
        <w:tblLayout w:type="fixed"/>
        <w:tblLook w:val="0000"/>
      </w:tblPr>
      <w:tblGrid>
        <w:gridCol w:w="4396"/>
        <w:gridCol w:w="5103"/>
      </w:tblGrid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- моложе 25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3,1%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- 25-35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19,31%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- 35-55 лет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59,31%</w:t>
            </w:r>
          </w:p>
        </w:tc>
      </w:tr>
      <w:tr w:rsidR="005B5D71" w:rsidRPr="00F20470" w:rsidTr="00AC5DDB">
        <w:tc>
          <w:tcPr>
            <w:tcW w:w="4396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35"/>
              <w:jc w:val="both"/>
            </w:pPr>
            <w:r w:rsidRPr="00F20470">
              <w:t>- пенсионного возраста</w:t>
            </w:r>
          </w:p>
        </w:tc>
        <w:tc>
          <w:tcPr>
            <w:tcW w:w="5103" w:type="dxa"/>
            <w:shd w:val="clear" w:color="auto" w:fill="auto"/>
          </w:tcPr>
          <w:p w:rsidR="005B5D71" w:rsidRPr="00F20470" w:rsidRDefault="005B5D71" w:rsidP="00AC5DDB">
            <w:pPr>
              <w:snapToGrid w:val="0"/>
              <w:ind w:firstLine="567"/>
              <w:jc w:val="both"/>
            </w:pPr>
            <w:r w:rsidRPr="00F20470">
              <w:t>22,4%</w:t>
            </w:r>
          </w:p>
        </w:tc>
      </w:tr>
    </w:tbl>
    <w:p w:rsidR="005B5D71" w:rsidRPr="00F20470" w:rsidRDefault="005B5D71" w:rsidP="005B5D71">
      <w:pPr>
        <w:ind w:firstLine="567"/>
        <w:jc w:val="both"/>
      </w:pPr>
    </w:p>
    <w:p w:rsidR="005B5D71" w:rsidRPr="00F20470" w:rsidRDefault="005B5D71" w:rsidP="005B5D71">
      <w:pPr>
        <w:ind w:firstLine="567"/>
        <w:jc w:val="both"/>
      </w:pPr>
      <w:r w:rsidRPr="00F20470">
        <w:t>Кадровый потенциал руководителей ОО Зиминского района:</w:t>
      </w:r>
    </w:p>
    <w:p w:rsidR="005B5D71" w:rsidRPr="00F20470" w:rsidRDefault="005B5D71" w:rsidP="005B5D71">
      <w:pPr>
        <w:ind w:firstLine="567"/>
        <w:jc w:val="both"/>
      </w:pPr>
      <w:r w:rsidRPr="00F20470">
        <w:t>Возглавляют  образовательные организации района 21 руководитель: из них 10 -  средние общеобразовательные школы, 5  - основные общеобразовательные школы, 6 -  дошкольные образовательный учреждения.</w:t>
      </w:r>
    </w:p>
    <w:p w:rsidR="005B5D71" w:rsidRPr="00F20470" w:rsidRDefault="005B5D71" w:rsidP="005B5D71">
      <w:pPr>
        <w:ind w:firstLine="567"/>
        <w:jc w:val="both"/>
      </w:pPr>
      <w:r w:rsidRPr="00F20470">
        <w:t>Образование: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105"/>
      </w:tblGrid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Высшее профессиональное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80,96%</w:t>
            </w:r>
          </w:p>
        </w:tc>
      </w:tr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Среднее профессиональное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19,04%</w:t>
            </w:r>
          </w:p>
        </w:tc>
      </w:tr>
    </w:tbl>
    <w:p w:rsidR="005B5D71" w:rsidRPr="00F20470" w:rsidRDefault="005B5D71" w:rsidP="005B5D71">
      <w:pPr>
        <w:ind w:firstLine="567"/>
        <w:jc w:val="both"/>
      </w:pPr>
    </w:p>
    <w:p w:rsidR="005B5D71" w:rsidRPr="00F20470" w:rsidRDefault="005B5D71" w:rsidP="005B5D71">
      <w:pPr>
        <w:ind w:firstLine="567"/>
        <w:jc w:val="both"/>
      </w:pPr>
      <w:r w:rsidRPr="00F20470">
        <w:lastRenderedPageBreak/>
        <w:t>Стаж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105"/>
        <w:gridCol w:w="6"/>
      </w:tblGrid>
      <w:tr w:rsidR="005B5D71" w:rsidRPr="00F20470" w:rsidTr="00AC5DD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менее 2-х лет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19,04%</w:t>
            </w:r>
          </w:p>
        </w:tc>
      </w:tr>
      <w:tr w:rsidR="005B5D71" w:rsidRPr="00F20470" w:rsidTr="00AC5DD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от 2 до 5 лет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4,76%</w:t>
            </w:r>
          </w:p>
        </w:tc>
      </w:tr>
      <w:tr w:rsidR="005B5D71" w:rsidRPr="00F20470" w:rsidTr="00AC5DD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от 5 до 10 лет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19,04%</w:t>
            </w:r>
          </w:p>
        </w:tc>
      </w:tr>
      <w:tr w:rsidR="005B5D71" w:rsidRPr="00F20470" w:rsidTr="00AC5DD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от 10 до 20 лет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28,57%</w:t>
            </w:r>
          </w:p>
        </w:tc>
      </w:tr>
      <w:tr w:rsidR="005B5D71" w:rsidRPr="00F20470" w:rsidTr="00AC5DD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более 20 лет</w:t>
            </w: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28,57%</w:t>
            </w:r>
          </w:p>
        </w:tc>
      </w:tr>
      <w:tr w:rsidR="005B5D71" w:rsidRPr="00F20470" w:rsidTr="00AC5DDB">
        <w:trPr>
          <w:gridAfter w:val="1"/>
          <w:wAfter w:w="6" w:type="dxa"/>
        </w:trPr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</w:p>
        </w:tc>
        <w:tc>
          <w:tcPr>
            <w:tcW w:w="5105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</w:p>
        </w:tc>
      </w:tr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rPr>
                <w:bCs/>
              </w:rPr>
            </w:pPr>
            <w:r w:rsidRPr="00F20470">
              <w:rPr>
                <w:bCs/>
              </w:rPr>
              <w:t xml:space="preserve">          Возраст: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</w:p>
        </w:tc>
      </w:tr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моложе 25 лет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0,00%</w:t>
            </w:r>
          </w:p>
        </w:tc>
      </w:tr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- 25-35 лет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4,76%</w:t>
            </w:r>
          </w:p>
        </w:tc>
      </w:tr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- 35-55 лет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61,94%</w:t>
            </w:r>
          </w:p>
        </w:tc>
      </w:tr>
      <w:tr w:rsidR="005B5D71" w:rsidRPr="00F20470" w:rsidTr="00AC5DDB">
        <w:tc>
          <w:tcPr>
            <w:tcW w:w="4253" w:type="dxa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</w:pPr>
            <w:r w:rsidRPr="00F20470">
              <w:t>- пенсионного возраста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5B5D71" w:rsidRPr="00F20470" w:rsidRDefault="005B5D71" w:rsidP="00AC5DDB">
            <w:pPr>
              <w:pStyle w:val="a5"/>
              <w:snapToGrid w:val="0"/>
              <w:ind w:firstLine="654"/>
            </w:pPr>
            <w:r w:rsidRPr="00F20470">
              <w:t>33,3%</w:t>
            </w:r>
          </w:p>
        </w:tc>
      </w:tr>
    </w:tbl>
    <w:p w:rsidR="00BC3B66" w:rsidRDefault="00BC3B66"/>
    <w:sectPr w:rsidR="00BC3B66" w:rsidSect="00BC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D71"/>
    <w:rsid w:val="005B5D71"/>
    <w:rsid w:val="009C44B8"/>
    <w:rsid w:val="00BC3B66"/>
    <w:rsid w:val="00E1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5D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5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B5D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2017-05-23T06:23:00Z</dcterms:created>
  <dcterms:modified xsi:type="dcterms:W3CDTF">2017-05-23T06:32:00Z</dcterms:modified>
</cp:coreProperties>
</file>